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D677" w14:textId="77777777" w:rsidR="00D71688" w:rsidRPr="00804B77" w:rsidRDefault="00D71688" w:rsidP="00D71688">
      <w:pPr>
        <w:adjustRightInd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>別紙</w:t>
      </w:r>
      <w:r w:rsidRPr="00804B77">
        <w:rPr>
          <w:rFonts w:asciiTheme="minorEastAsia" w:eastAsiaTheme="minorEastAsia" w:hAnsiTheme="minorEastAsia"/>
        </w:rPr>
        <w:t>様式第</w:t>
      </w:r>
      <w:r w:rsidRPr="00804B77">
        <w:rPr>
          <w:rFonts w:asciiTheme="minorEastAsia" w:eastAsiaTheme="minorEastAsia" w:hAnsiTheme="minorEastAsia" w:hint="eastAsia"/>
        </w:rPr>
        <w:t>３</w:t>
      </w:r>
      <w:r w:rsidRPr="00804B77">
        <w:rPr>
          <w:rFonts w:asciiTheme="minorEastAsia" w:eastAsiaTheme="minorEastAsia" w:hAnsiTheme="minorEastAsia"/>
        </w:rPr>
        <w:t>号</w:t>
      </w:r>
      <w:r w:rsidRPr="00804B77">
        <w:rPr>
          <w:rFonts w:asciiTheme="minorEastAsia" w:eastAsiaTheme="minorEastAsia" w:hAnsiTheme="minorEastAsia" w:hint="eastAsia"/>
        </w:rPr>
        <w:t>（細則第３条</w:t>
      </w:r>
      <w:r w:rsidR="00EC21A0" w:rsidRPr="00804B77">
        <w:rPr>
          <w:rFonts w:asciiTheme="minorEastAsia" w:eastAsiaTheme="minorEastAsia" w:hAnsiTheme="minorEastAsia" w:hint="eastAsia"/>
        </w:rPr>
        <w:t>第２項</w:t>
      </w:r>
      <w:r w:rsidRPr="00804B77">
        <w:rPr>
          <w:rFonts w:asciiTheme="minorEastAsia" w:eastAsiaTheme="minorEastAsia" w:hAnsiTheme="minorEastAsia" w:hint="eastAsia"/>
        </w:rPr>
        <w:t>関係）</w:t>
      </w:r>
    </w:p>
    <w:p w14:paraId="429D5026" w14:textId="77777777" w:rsidR="00A873EB" w:rsidRPr="00804B77" w:rsidRDefault="00A873E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188F22" w14:textId="7C0E7DDD" w:rsidR="00F76B57" w:rsidRPr="00104560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</w:rPr>
        <w:t>施設園芸</w:t>
      </w:r>
      <w:r w:rsidRPr="00804B77">
        <w:rPr>
          <w:rFonts w:asciiTheme="minorEastAsia" w:eastAsiaTheme="minorEastAsia" w:hAnsiTheme="minorEastAsia"/>
        </w:rPr>
        <w:t>用</w:t>
      </w:r>
      <w:r w:rsidRPr="00104560">
        <w:rPr>
          <w:rFonts w:asciiTheme="minorEastAsia" w:eastAsiaTheme="minorEastAsia" w:hAnsiTheme="minorEastAsia"/>
          <w:color w:val="auto"/>
        </w:rPr>
        <w:t>燃</w:t>
      </w:r>
      <w:r w:rsidR="000918B9" w:rsidRPr="00104560">
        <w:rPr>
          <w:rFonts w:asciiTheme="minorEastAsia" w:eastAsiaTheme="minorEastAsia" w:hAnsiTheme="minorEastAsia" w:hint="eastAsia"/>
          <w:color w:val="auto"/>
        </w:rPr>
        <w:t>料</w:t>
      </w:r>
      <w:r w:rsidRPr="00104560">
        <w:rPr>
          <w:rFonts w:asciiTheme="minorEastAsia" w:eastAsiaTheme="minorEastAsia" w:hAnsiTheme="minorEastAsia"/>
          <w:color w:val="auto"/>
        </w:rPr>
        <w:t>価格差補塡金</w:t>
      </w:r>
      <w:r w:rsidR="00F30321" w:rsidRPr="00104560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104560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104560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104560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1045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104560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1045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104560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1045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104560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104560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104560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104560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104560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104560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4C07C014" w:rsidR="00B87FD1" w:rsidRPr="00104560" w:rsidRDefault="00D76AC9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104560">
        <w:rPr>
          <w:rFonts w:asciiTheme="minorEastAsia" w:eastAsiaTheme="minorEastAsia" w:hAnsiTheme="minorEastAsia" w:hint="eastAsia"/>
          <w:color w:val="auto"/>
        </w:rPr>
        <w:t>新潟県燃油価格高騰緊急対策協議会</w:t>
      </w:r>
    </w:p>
    <w:p w14:paraId="22DFF191" w14:textId="7B77D252" w:rsidR="00B87FD1" w:rsidRPr="00104560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04430ECA" w14:textId="3ECC94BE" w:rsidR="00B87FD1" w:rsidRPr="00104560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9B0DF6" w14:textId="77777777" w:rsidR="00A01334" w:rsidRPr="00104560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104560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104560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104560">
        <w:rPr>
          <w:rFonts w:asciiTheme="minorEastAsia" w:eastAsiaTheme="minorEastAsia" w:hAnsiTheme="minorEastAsia" w:hint="eastAsia"/>
          <w:color w:val="auto"/>
        </w:rPr>
        <w:t>通知</w:t>
      </w:r>
      <w:r w:rsidRPr="00104560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104560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104560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104560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1045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104560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1045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1045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104560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年</w:t>
      </w:r>
      <w:r w:rsidR="00F9620D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月</w:t>
      </w:r>
      <w:r w:rsidR="00F9620D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日</w:t>
      </w:r>
      <w:r w:rsidR="0027508D" w:rsidRPr="001045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104560">
        <w:rPr>
          <w:rFonts w:asciiTheme="minorEastAsia" w:eastAsiaTheme="minorEastAsia" w:hAnsiTheme="minorEastAsia" w:hint="eastAsia"/>
          <w:color w:val="auto"/>
        </w:rPr>
        <w:t>（至）</w:t>
      </w:r>
      <w:r w:rsidRPr="00104560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年</w:t>
      </w:r>
      <w:r w:rsidR="00C60FB8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月</w:t>
      </w:r>
      <w:r w:rsidR="00C60FB8" w:rsidRPr="0010456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104560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1045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104560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104560">
        <w:rPr>
          <w:rFonts w:asciiTheme="minorEastAsia" w:eastAsiaTheme="minorEastAsia" w:hAnsiTheme="minorEastAsia" w:hint="eastAsia"/>
          <w:color w:val="auto"/>
        </w:rPr>
        <w:t>料</w:t>
      </w:r>
      <w:r w:rsidRPr="00104560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104560" w:rsidRPr="00104560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1045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1045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1045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104560" w:rsidRPr="00104560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0918B9" w:rsidRPr="001045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</w:t>
            </w:r>
            <w:bookmarkStart w:id="0" w:name="_GoBack"/>
            <w:bookmarkEnd w:id="0"/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12.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0918B9" w:rsidRPr="001045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13.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0918B9" w:rsidRPr="001045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16.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104560" w:rsidRPr="00104560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0918B9" w:rsidRPr="001045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8.6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104560" w:rsidRPr="00104560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0918B9" w:rsidRPr="001045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24.5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25.9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32.0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104560" w:rsidRPr="00104560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17.1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104560" w:rsidRPr="00104560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0918B9" w:rsidRPr="001045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77777777" w:rsidR="000918B9" w:rsidRPr="00104560" w:rsidRDefault="000918B9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0.8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3.2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53.3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104560" w:rsidRPr="00104560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28.5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104560" w:rsidRPr="00104560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0918B9" w:rsidRPr="001045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77777777" w:rsidR="000918B9" w:rsidRPr="00104560" w:rsidRDefault="000918B9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57.1円/ﾘｯﾄﾙ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60.5円/ﾘｯﾄﾙ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104560" w:rsidRPr="00104560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74.6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0918B9" w:rsidRPr="00104560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0918B9" w:rsidRPr="001045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77777777" w:rsidR="000918B9" w:rsidRPr="001045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1045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39.9</w:t>
            </w: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0918B9" w:rsidRPr="001045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1045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104560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104560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104560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104560">
        <w:rPr>
          <w:rFonts w:asciiTheme="minorEastAsia" w:eastAsiaTheme="minorEastAsia" w:hAnsiTheme="minorEastAsia" w:hint="eastAsia"/>
          <w:color w:val="auto"/>
        </w:rPr>
        <w:t>予定</w:t>
      </w:r>
      <w:r w:rsidRPr="00104560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1045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104560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104560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1045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104560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10456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045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1045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104560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1045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Pr="00104560" w:rsidRDefault="00F30321" w:rsidP="00F30321">
      <w:pPr>
        <w:adjustRightInd/>
        <w:spacing w:line="306" w:lineRule="exact"/>
        <w:rPr>
          <w:color w:val="auto"/>
        </w:rPr>
      </w:pPr>
      <w:r w:rsidRPr="00104560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104560">
        <w:rPr>
          <w:rFonts w:hint="eastAsia"/>
          <w:color w:val="auto"/>
        </w:rPr>
        <w:t>のとおり。</w:t>
      </w:r>
    </w:p>
    <w:sectPr w:rsidR="00F30321" w:rsidRPr="00104560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04560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76AC9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707F-C3B6-410C-B856-5C9C8536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3</cp:revision>
  <cp:lastPrinted>2023-01-12T08:57:00Z</cp:lastPrinted>
  <dcterms:created xsi:type="dcterms:W3CDTF">2023-01-06T04:11:00Z</dcterms:created>
  <dcterms:modified xsi:type="dcterms:W3CDTF">2023-01-12T08:58:00Z</dcterms:modified>
</cp:coreProperties>
</file>